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4" w:rsidRPr="0083417A" w:rsidRDefault="00CB1EED" w:rsidP="007F5A3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7161C" wp14:editId="17B80751">
                <wp:simplePos x="0" y="0"/>
                <wp:positionH relativeFrom="column">
                  <wp:posOffset>-611962</wp:posOffset>
                </wp:positionH>
                <wp:positionV relativeFrom="paragraph">
                  <wp:posOffset>-383591</wp:posOffset>
                </wp:positionV>
                <wp:extent cx="6889115" cy="10050628"/>
                <wp:effectExtent l="19050" t="19050" r="45085" b="4635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050628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-48.2pt;margin-top:-30.2pt;width:542.45pt;height:79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Памятка инвесторам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т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ехнологическому</w:t>
      </w:r>
      <w:proofErr w:type="gramEnd"/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  присоединение к электрическим сетям </w:t>
      </w:r>
      <w:r w:rsid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                                             </w:t>
      </w:r>
    </w:p>
    <w:p w:rsidR="00F728EF" w:rsidRPr="0083417A" w:rsidRDefault="00112C4B" w:rsidP="007F5A3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C531" wp14:editId="1AF4C8C9">
                <wp:simplePos x="0" y="0"/>
                <wp:positionH relativeFrom="column">
                  <wp:posOffset>88900</wp:posOffset>
                </wp:positionH>
                <wp:positionV relativeFrom="paragraph">
                  <wp:posOffset>312420</wp:posOffset>
                </wp:positionV>
                <wp:extent cx="5847715" cy="12642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EF" w:rsidRPr="00FD0771" w:rsidRDefault="00F728EF" w:rsidP="00116D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Технологическое присоединение</w:t>
                            </w:r>
                            <w:r w:rsidRPr="00FD07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112C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-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представляет собой совокупность мероприятий по обеспечению фактического присоединения </w:t>
                            </w:r>
                            <w:proofErr w:type="spellStart"/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энергопринимающих</w:t>
                            </w:r>
                            <w:proofErr w:type="spellEnd"/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устройств организации к объектам электросетевого хозяйства и мероприятий по получению необходимой </w:t>
                            </w:r>
                            <w:r w:rsidR="007E4668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технической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документации</w:t>
                            </w:r>
                            <w:r w:rsidRPr="00FD07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  <w:p w:rsidR="00F728EF" w:rsidRDefault="00F7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24.6pt;width:460.4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" filled="f" stroked="f">
                <v:textbox>
                  <w:txbxContent>
                    <w:p w:rsidR="00F728EF" w:rsidRPr="00FD0771" w:rsidRDefault="00F728EF" w:rsidP="00116DB6">
                      <w:pPr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Технологическое присоединение</w:t>
                      </w:r>
                      <w:r w:rsidRPr="00FD0771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112C4B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-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представляет собой совокупность мероприятий по обеспечению фактического присоединения </w:t>
                      </w:r>
                      <w:proofErr w:type="spellStart"/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энергопринимающих</w:t>
                      </w:r>
                      <w:proofErr w:type="spellEnd"/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устройств организации к объектам электросетевого хозяйства и мероприятий по получению необходимой </w:t>
                      </w:r>
                      <w:r w:rsidR="007E4668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технической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документации</w:t>
                      </w:r>
                      <w:r w:rsidRPr="00FD0771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</w:t>
                      </w:r>
                    </w:p>
                    <w:p w:rsidR="00F728EF" w:rsidRDefault="00F728EF"/>
                  </w:txbxContent>
                </v:textbox>
              </v:shape>
            </w:pict>
          </mc:Fallback>
        </mc:AlternateContent>
      </w:r>
    </w:p>
    <w:p w:rsidR="00F728EF" w:rsidRPr="0083417A" w:rsidRDefault="00F728EF" w:rsidP="007F5A36">
      <w:pPr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34F1" wp14:editId="42ECCAAE">
                <wp:simplePos x="0" y="0"/>
                <wp:positionH relativeFrom="column">
                  <wp:posOffset>89446</wp:posOffset>
                </wp:positionH>
                <wp:positionV relativeFrom="paragraph">
                  <wp:posOffset>156579</wp:posOffset>
                </wp:positionV>
                <wp:extent cx="5847715" cy="1722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7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EF" w:rsidRPr="00112C4B" w:rsidRDefault="00F728EF" w:rsidP="00116D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Процедура технологического присоединени</w:t>
                            </w:r>
                            <w:r w:rsid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я</w:t>
                            </w:r>
                            <w:r w:rsidRPr="008F02D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регламентируется правилами технологического присоединения </w:t>
                            </w:r>
                            <w:proofErr w:type="spellStart"/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энергопринимающих</w:t>
                            </w:r>
                            <w:proofErr w:type="spellEnd"/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                </w:r>
                            <w:r w:rsidR="00112C4B" w:rsidRPr="00112C4B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утвержденными Постановлением Правительства РФ от 27.12.2004 </w:t>
                            </w:r>
                            <w:hyperlink r:id="rId7" w:tgtFrame="_blank" w:history="1">
                              <w:r w:rsidR="00112C4B" w:rsidRPr="00112C4B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48DD4" w:themeColor="text2" w:themeTint="99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N 861</w:t>
                              </w:r>
                            </w:hyperlink>
                          </w:p>
                          <w:p w:rsidR="00F728EF" w:rsidRDefault="00F728EF" w:rsidP="00F7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12.35pt;width:460.45pt;height:1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" filled="f" stroked="f">
                <v:textbox>
                  <w:txbxContent>
                    <w:p w:rsidR="00F728EF" w:rsidRPr="00112C4B" w:rsidRDefault="00F728EF" w:rsidP="00116DB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Процедура технологического присоединени</w:t>
                      </w:r>
                      <w:r w:rsid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я</w:t>
                      </w:r>
                      <w:r w:rsidRPr="008F02D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регламентируется правилами технологического присоединения </w:t>
                      </w:r>
                      <w:proofErr w:type="spellStart"/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энергопринимающих</w:t>
                      </w:r>
                      <w:proofErr w:type="spellEnd"/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          </w:r>
                      <w:r w:rsidR="00112C4B" w:rsidRPr="00112C4B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утвержденными Постановлением Правительства РФ от 27.12.2004 </w:t>
                      </w:r>
                      <w:hyperlink r:id="rId8" w:tgtFrame="_blank" w:history="1">
                        <w:r w:rsidR="00112C4B" w:rsidRPr="00112C4B">
                          <w:rPr>
                            <w:rFonts w:ascii="Times New Roman" w:eastAsia="Times New Roman" w:hAnsi="Times New Roman" w:cs="Times New Roman"/>
                            <w:i/>
                            <w:color w:val="548DD4" w:themeColor="text2" w:themeTint="99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N 861</w:t>
                        </w:r>
                      </w:hyperlink>
                    </w:p>
                    <w:p w:rsidR="00F728EF" w:rsidRDefault="00F728EF" w:rsidP="00F728EF"/>
                  </w:txbxContent>
                </v:textbox>
              </v:shape>
            </w:pict>
          </mc:Fallback>
        </mc:AlternateContent>
      </w: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D0771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D0771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2D4AA4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D4AA4"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Результатом </w:t>
      </w:r>
      <w:r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выполнения </w:t>
      </w:r>
      <w:r w:rsidR="002D4AA4"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процедуры является: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Фактическое присоединение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устройств заявителя к электрическим сетям.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 </w:t>
      </w:r>
      <w:r w:rsidR="00F728EF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акта об осуществлении технологического присоединения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напряжения на объект.</w:t>
      </w:r>
    </w:p>
    <w:p w:rsidR="002D4AA4" w:rsidRPr="0083417A" w:rsidRDefault="0086030C" w:rsidP="007F5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lang w:eastAsia="ru-RU"/>
        </w:rPr>
      </w:pPr>
      <w:hyperlink r:id="rId9" w:history="1">
        <w:r w:rsidR="00F728EF" w:rsidRPr="00112C4B">
          <w:rPr>
            <w:rStyle w:val="a4"/>
            <w:rFonts w:ascii="Times New Roman" w:eastAsia="Times New Roman" w:hAnsi="Times New Roman" w:cs="Times New Roman"/>
            <w:sz w:val="52"/>
            <w:szCs w:val="52"/>
            <w:bdr w:val="none" w:sz="0" w:space="0" w:color="auto" w:frame="1"/>
            <w:lang w:eastAsia="ru-RU"/>
          </w:rPr>
          <w:t>Подать заявку</w:t>
        </w:r>
      </w:hyperlink>
    </w:p>
    <w:p w:rsidR="002D4AA4" w:rsidRPr="0083417A" w:rsidRDefault="002D4AA4" w:rsidP="007F5A36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Какие виды технологического присоединения бывают?</w:t>
      </w:r>
    </w:p>
    <w:p w:rsidR="002D4AA4" w:rsidRPr="0083417A" w:rsidRDefault="002D4AA4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Новое технологическое присоединение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Если ваш объект ранее не был присоединен к электрическим сетям</w:t>
      </w:r>
      <w:r w:rsidR="00D83CD8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D4AA4" w:rsidRPr="002C1DD8" w:rsidRDefault="002D4AA4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Увеличение мощности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Ваш объект имеет технологическое присоединение, но вы хотите </w:t>
      </w:r>
      <w:r w:rsidR="00F728EF" w:rsidRPr="008341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увеличить мощность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(это может быть связано с увеличением объемов производства или сменой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вида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деятельности)</w:t>
      </w:r>
      <w:r w:rsidR="00D83CD8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C1DD8" w:rsidRPr="002C1DD8" w:rsidRDefault="002C1DD8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Изменение характеристик</w:t>
      </w:r>
      <w:r w:rsidRPr="002C1DD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устройств заявителя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Категория надежности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электроснабжения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, 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количеств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точек присоединения</w:t>
      </w:r>
      <w:bookmarkStart w:id="0" w:name="_GoBack"/>
      <w:bookmarkEnd w:id="0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C1DD8" w:rsidRPr="0083417A" w:rsidRDefault="002C1DD8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Технологическое присоединение объектов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микрогенерации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51229" w:rsidRDefault="00D51229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CB1EED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70C3F" wp14:editId="38ADB064">
                <wp:simplePos x="0" y="0"/>
                <wp:positionH relativeFrom="column">
                  <wp:posOffset>-699135</wp:posOffset>
                </wp:positionH>
                <wp:positionV relativeFrom="paragraph">
                  <wp:posOffset>-429260</wp:posOffset>
                </wp:positionV>
                <wp:extent cx="6889115" cy="9948545"/>
                <wp:effectExtent l="19050" t="19050" r="45085" b="3365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994854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55.05pt;margin-top:-33.8pt;width:542.45pt;height:78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Порядок получения технологического присоединения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Определение сетевой </w:t>
      </w:r>
      <w:proofErr w:type="gramStart"/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End"/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к сетям которой вам необходимо подключится;</w:t>
      </w:r>
    </w:p>
    <w:p w:rsidR="002D4AA4" w:rsidRPr="00112C4B" w:rsidRDefault="00F728EF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заявки на технологическое присоединение</w:t>
      </w:r>
      <w:r w:rsidR="002D4AA4"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в сетевую организацию;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 проекта договора о технологическом присоединении и технических условий;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Подписание договора о технологическом присоединении с сетевой организацией;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Выполнения технических условий по договору;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Проверка выполнения технических условий;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 документов и заключение договора энергоснабжения;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напряжения на объект.</w:t>
      </w:r>
    </w:p>
    <w:p w:rsidR="002D4AA4" w:rsidRPr="0083417A" w:rsidRDefault="00C732F6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noProof/>
          <w:color w:val="365F91" w:themeColor="accent1" w:themeShade="BF"/>
          <w:sz w:val="21"/>
          <w:szCs w:val="21"/>
          <w:lang w:eastAsia="ru-RU"/>
        </w:rPr>
        <w:drawing>
          <wp:inline distT="0" distB="0" distL="0" distR="0" wp14:anchorId="5185ACD7" wp14:editId="10449C7C">
            <wp:extent cx="5943600" cy="6145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DD" w:rsidRPr="0083417A" w:rsidRDefault="008F02D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7161C" wp14:editId="17B80751">
                <wp:simplePos x="0" y="0"/>
                <wp:positionH relativeFrom="column">
                  <wp:posOffset>-729005</wp:posOffset>
                </wp:positionH>
                <wp:positionV relativeFrom="paragraph">
                  <wp:posOffset>-273863</wp:posOffset>
                </wp:positionV>
                <wp:extent cx="6889115" cy="9992563"/>
                <wp:effectExtent l="19050" t="19050" r="45085" b="469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9992563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57.4pt;margin-top:-21.55pt;width:542.45pt;height:78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1. К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ак выбрать к 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какой сетевой организации 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необходимо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 осуществл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ять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 подключение?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Необходимо определить ближайший объект электросетевого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хозяйства</w:t>
      </w:r>
      <w:proofErr w:type="gramEnd"/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котор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ому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планируется подключ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ение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. Это может быть опора ЛЭП, кабельная линия, трансформаторные подстанции. К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сетевой компании, владеющей этим объектом и будет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осуществлено подключение.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Если на расстоянии менее 300 метров от границ объекта находятся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объекты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нескольких</w:t>
      </w:r>
      <w:r w:rsidR="00BB3208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сетевых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компаний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 то вы можете выбрать люб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ую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 обратится к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ней за технологическим присоединением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вблизи границ нет объектов электросетевого хозяйства или они находятся на расстоянии далее 300 метров, необходимо направить заявление о технологическом присоединении в ту сетевую организацию, объекты которой находятся на наименьшем расстоянии.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2. Подача заявки на технологическое присоединение в электросетевую компанию</w:t>
      </w:r>
    </w:p>
    <w:p w:rsidR="008F02DD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Заявку необходимо заполнить и подать в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сетевую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компанию через сайт,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посредством почтовой связи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либо лично. 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При заполнении заявки вы имеете возможность сразу выбрать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энергосбытовую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компанию, с которой хотите заключить договор и вид договора: купля-продажа или энергоснабжение</w:t>
      </w:r>
      <w:r w:rsidR="008F02D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Срок рассмотрения заявки зависит от типа потребителя и необходимой мощности: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Юридические лица и индивидуальные предприниматели до 150 кВт по одному источнику электроснабжения и физические лица до 15 кВт по одному источнику электроснабжения 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–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1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0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рабочих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Иные категории –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0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рабочих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Юридические и физические лица на временное присоединение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устройств- 10 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индивидуальному проекту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 – в течение 5 дней со дня утверждения размера платы за технологическое присоединение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депар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тамент государственного регулирования тарифов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3. Получение договора на технологическое присоединение и технические условия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истечении срока рассмотрения заявки, вы получите договор на технологическое присоединение,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 так же неотъемлемую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часть,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приложение к договору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технические условия.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Технические условия - это список мероприятий, которые необходимо будет выполнить для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осуществления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фактическое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присоединения к электрическим сетям.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bdr w:val="none" w:sz="0" w:space="0" w:color="auto" w:frame="1"/>
          <w:lang w:eastAsia="ru-RU"/>
        </w:rPr>
        <w:t>Что должно содержаться в технических условиях?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В технических условиях для юридических лиц и индивидуальных предпринимателей с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мощностью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не превышающей 150 кВт и для физических лиц с мощностью не более 15 кВт: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Точки присоединения к электрическим сетям. При этом точки присоединения должны располагаться не далее </w:t>
      </w:r>
      <w:r w:rsidR="008F02D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1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5 метров от границ участка заявителя;</w:t>
      </w:r>
    </w:p>
    <w:p w:rsidR="002D4AA4" w:rsidRPr="0083417A" w:rsidRDefault="008F02DD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ребования к усилению параметров пропускной способности существующей сети. Мероприятия по усилению пропускной способности до границ участка выполняются сетевой организацией;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Обязательные требования к приборам учета и устройствам противоаварийной автоматики;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Распределение обязанностей по выполнению технических условий.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5F8CE" wp14:editId="31969D20">
                <wp:simplePos x="0" y="0"/>
                <wp:positionH relativeFrom="column">
                  <wp:posOffset>-723900</wp:posOffset>
                </wp:positionH>
                <wp:positionV relativeFrom="paragraph">
                  <wp:posOffset>-470535</wp:posOffset>
                </wp:positionV>
                <wp:extent cx="6889115" cy="10132695"/>
                <wp:effectExtent l="19050" t="19050" r="45085" b="400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57pt;margin-top:-37.05pt;width:542.45pt;height:79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 технических условиях для иных заявителей указываются: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Схемы выдачи или приема мощности и точки присоединения (вводные распределительные устройства, линии электропередачи, базовые подстанции, генераторы);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электроэнергии), обязательные для исполнения сетевой организацией за счет ее средств;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Требования к устройствам релейной защиты, регулированию реактивной мощности, противоаварийной и режимной автоматике, телемеханике, связи, изоляции и защите от перенапряжения, к контролю и поддержанию качества электроэнергии, а также к приборам учета электрической энергии и мощности (активной и реактивной);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Требования к присоединению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 к устройствам противоаварийной и режимной автоматики, требования к подключению всей присоединяемой мощности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устройств, но не ниже уровня аварийной или технологической брони, к устройствам автоматики отключения нагрузки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установок при снижении частоты электрического тока или напряжения в прилегающей электрической сети, требования к характеристикам генераторов;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Требования к оснащению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4. Заключение договора технологического присоединения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После получения договора на технологическое присоединения вы должны подписать два экземпляра договора и один экземпляр направить в сетевую компанию в течение 30 дней с даты получение проекта договора от сетевой организации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или оплатить счет на оплату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за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технологическо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присоединения в течени</w:t>
      </w:r>
      <w:proofErr w:type="gramStart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E32804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10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рабочих дней, в зависимости от категории заявителя.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 случае несогласия с проектом договора и представленными условиями вы можете направить в адрес сетевой организации мотивированный отказ от подписания договора с предложением об изменении условий договора или с требованиями о приведении его в соответствие с Правилами технологического присоединения. Направить отказ необходимо заказным письмом с уведомлением.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получение отказа сетевая организация обязана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ответить на мотивированный отказ или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подготовить новую редакцию договора в течение 5 рабочих дней и направить ее в адрес заявителя.</w:t>
      </w:r>
    </w:p>
    <w:p w:rsidR="002D4AA4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в течение 30 дней отказ или подписанный договор не был отправлен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или не оплачен в течени</w:t>
      </w:r>
      <w:proofErr w:type="gramStart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5 рабочих дней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 заявка аннулируется.</w:t>
      </w:r>
    </w:p>
    <w:p w:rsidR="009B5F6E" w:rsidRPr="009B5F6E" w:rsidRDefault="00E32804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</w:pPr>
      <w:proofErr w:type="gramStart"/>
      <w:r w:rsidRPr="00E32804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заявителей  указанных в 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</w:t>
      </w:r>
      <w:hyperlink r:id="rId11" w:anchor="dst101304" w:history="1">
        <w:proofErr w:type="spellStart"/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пунктах</w:t>
        </w:r>
        <w:proofErr w:type="spellEnd"/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 xml:space="preserve"> 12(1)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 </w:t>
      </w:r>
      <w:hyperlink r:id="rId12" w:anchor="dst2579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13(2)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- </w:t>
      </w:r>
      <w:hyperlink r:id="rId13" w:anchor="dst2598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13(5)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и </w:t>
      </w:r>
      <w:hyperlink r:id="rId14" w:anchor="dst101080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14</w:t>
        </w:r>
      </w:hyperlink>
      <w:r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Правил,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р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офертой, а оплата заявителем счета на оплату технологического присоединения по договору - акцептом договора об осуществлении технологического присоединения к электрическим сетям и технических условий</w:t>
      </w:r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.</w:t>
      </w:r>
      <w:proofErr w:type="gramEnd"/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</w:t>
      </w:r>
      <w:proofErr w:type="gramStart"/>
      <w:r w:rsidR="009B5F6E" w:rsidRP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Заявитель обязан в течение 5 рабочих дней (со дня выставления сетевой организацией счета на оплату </w:t>
      </w:r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технологического присоединения</w:t>
      </w:r>
      <w:r w:rsidR="009B5F6E" w:rsidRP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 оплатить такой счет.</w:t>
      </w:r>
      <w:proofErr w:type="gramEnd"/>
    </w:p>
    <w:p w:rsidR="009B5F6E" w:rsidRDefault="009B5F6E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</w:p>
    <w:p w:rsidR="00314D80" w:rsidRDefault="00314D80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</w:p>
    <w:p w:rsidR="002D4AA4" w:rsidRPr="0083417A" w:rsidRDefault="002D4AA4" w:rsidP="00CB1EE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5. Выполнение технических условий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EE4BE" wp14:editId="1DCA127C">
                <wp:simplePos x="0" y="0"/>
                <wp:positionH relativeFrom="column">
                  <wp:posOffset>-736321</wp:posOffset>
                </wp:positionH>
                <wp:positionV relativeFrom="paragraph">
                  <wp:posOffset>-471373</wp:posOffset>
                </wp:positionV>
                <wp:extent cx="6815963" cy="10132695"/>
                <wp:effectExtent l="19050" t="19050" r="42545" b="400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63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58pt;margin-top:-37.1pt;width:536.7pt;height:79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подписания договора на технологическое присоединение идет этап выполнения технических условий. </w:t>
      </w:r>
      <w:r w:rsidR="00314D8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ыполняете работы в границах своего участка, сетевая организация выполняет мероприятия до границы участка заявителя.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6. Проверка выполнения технических условий и получение допуска в эксплуатацию приборов учета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Проверка выполнения вами технических условий в случаях, когда не требуется согласование технических условий с субъектом оперативно-диспетчерского управления, осуществляется сетевой организацией.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проведения проверки выполнения технических условий вы направляете в сетевую организацию уведомление о выполнении технических условий и прикладываете документы: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2D4AA4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314D80" w:rsidRPr="00053562" w:rsidRDefault="00314D80" w:rsidP="00314D8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Уведомление о выполнении технических условий не направляются заявителем в </w:t>
      </w:r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сетевую </w:t>
      </w:r>
      <w:proofErr w:type="gramStart"/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организацию</w:t>
      </w:r>
      <w:proofErr w:type="gramEnd"/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в </w:t>
      </w:r>
      <w:r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случае </w:t>
      </w:r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он относится к заявителям</w:t>
      </w:r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указанны</w:t>
      </w:r>
      <w:r w:rsidR="00053562"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м</w:t>
      </w:r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в </w:t>
      </w:r>
      <w:hyperlink r:id="rId15" w:anchor="dst101304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пунктах 12(1)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 </w:t>
      </w:r>
      <w:hyperlink r:id="rId16" w:anchor="dst2579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13(2)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- </w:t>
      </w:r>
      <w:hyperlink r:id="rId17" w:anchor="dst2598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13(5)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и </w:t>
      </w:r>
      <w:hyperlink r:id="rId18" w:anchor="dst101080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14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 Правил, кроме случаев, если технологическое присоединение </w:t>
      </w:r>
      <w:proofErr w:type="spellStart"/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энергопринимающих</w:t>
      </w:r>
      <w:proofErr w:type="spellEnd"/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устройств таких заявителей осуществляется на уровне напряжения выше 0,4 </w:t>
      </w:r>
      <w:proofErr w:type="spellStart"/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кВ</w:t>
      </w:r>
      <w:r w:rsid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.</w:t>
      </w:r>
      <w:proofErr w:type="spellEnd"/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Сетевая организация: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а) проверит соответствие технических решений, параметров оборудования и проведенных мероприятий, указанных в документах требованиям технических условий;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б) произведет осмотр присоединяемых электроустановок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заявителя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или на соответствие требованиям, определенным в технических условиях.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Одновременно с этим вы должны получить допуск в эксплуатацию прибора учета и оформить акт о допуске прибора учета в эксплуатацию. Для этого необходимо направить заявку в сетевую организацию на получение допуска в эксплуатацию прибора учета.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допуска в эксплуатацию прибора учета сетевая компания приглашает представителя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энергосбытовой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организации, с которой вы планируете заключить  договор энергоснабжения.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Сетевая организация проводит осмотр присоединяемых электроустановок до распределительного устройства (пункта).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проверки технических условий и оформления допуска в эксплуатацию прибора учета,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осуществляется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роцедура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фактического присоединения объектов к электрическим сетям. 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результатам мероприятий по проверке выполнения технических условий и после осуществления фактического подключения объекта к сети сетевая организация в 3-дневный срок составляет акт о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lastRenderedPageBreak/>
        <w:t>выполнении технических условий и направляет его вам, подписанный со своей стороны в 2 экземплярах. Вы должны подписать акт о выполнении технических условий в течение 5 дней с момента получения.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18EF0" wp14:editId="5E358A04">
                <wp:simplePos x="0" y="0"/>
                <wp:positionH relativeFrom="column">
                  <wp:posOffset>-662940</wp:posOffset>
                </wp:positionH>
                <wp:positionV relativeFrom="paragraph">
                  <wp:posOffset>-1062355</wp:posOffset>
                </wp:positionV>
                <wp:extent cx="6824980" cy="10132695"/>
                <wp:effectExtent l="19050" t="19050" r="33020" b="400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52.2pt;margin-top:-83.65pt;width:537.4pt;height:79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7. Подписание акта о технологическом присоединении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Оформление и подписание акта о технологическом присоединении - завершающая стадия процесса технологического присоединения. Акт о технологическом присоединении содержит в себе все данные об объекте подключения.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8. Получение документов и заключение договора энергоснабжения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Вместе с актом сетевая организация предоставит вам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полученные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от гарантирующего поставщика:</w:t>
      </w:r>
    </w:p>
    <w:p w:rsidR="002D4AA4" w:rsidRPr="0083417A" w:rsidRDefault="002D4AA4" w:rsidP="002D4AA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 экземпляра подписанного проекта договора энергоснабжения или дополнительного соглашения к действующему договору, если в заявке был указан вид договора - договор энергоснабжения;</w:t>
      </w:r>
    </w:p>
    <w:p w:rsidR="002D4AA4" w:rsidRPr="0083417A" w:rsidRDefault="002D4AA4" w:rsidP="002D4AA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 экземпляра проекта договора купли-продажи, если в заявке был выбран вид договора - договор купли-продажи.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Вы должны рассмотреть договор и в случае несогласия с какими-либо условиями направить гарантирующему поставщику предложение о заключении договора на других условиях.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же вы приложили к заявке подписанный проект договора энергоснабжения (или купли-продажи) или протокол разногласий к проекту договора по форме гарантирующего поставщика и у гарантирующего поставщика нет возражений, то сетевая организация предоставляет заявителю подписанный гарантирующим поставщиком один экземпляр договора.</w:t>
      </w:r>
    </w:p>
    <w:p w:rsidR="002D4AA4" w:rsidRPr="0083417A" w:rsidRDefault="008F02D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9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. Оплата технологического присоединения</w:t>
      </w:r>
    </w:p>
    <w:p w:rsidR="002D4AA4" w:rsidRPr="0083417A" w:rsidRDefault="002D4AA4" w:rsidP="0083417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Плата за технологическое присоединение будет включать в себя расходы сетевой организации на выполнение мероприятий по осуществлению технологического присоединения и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устройств.</w:t>
      </w:r>
    </w:p>
    <w:p w:rsidR="002D4AA4" w:rsidRPr="0083417A" w:rsidRDefault="003C31FA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атегории:</w:t>
      </w:r>
    </w:p>
    <w:p w:rsidR="002D4AA4" w:rsidRPr="0083417A" w:rsidRDefault="002D4AA4" w:rsidP="0083417A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При присоединении </w:t>
      </w:r>
      <w:proofErr w:type="spellStart"/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энергопринимающих</w:t>
      </w:r>
      <w:proofErr w:type="spellEnd"/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устройств максимальной мощностью не более 15 кВт (с учетом мощности ранее присоединенных устройств) для юридических и физических лиц плата составит не более </w:t>
      </w:r>
      <w:r w:rsidR="008F02DD"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3000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рублей</w:t>
      </w:r>
      <w:r w:rsidR="008F02DD"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за кВт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 При условии: выбора 3 категория надежности,  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2D4AA4" w:rsidRPr="0083417A" w:rsidRDefault="003C31FA" w:rsidP="0083417A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ru-RU"/>
        </w:rPr>
      </w:pPr>
      <w:proofErr w:type="gramStart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При осуществлении присоединения </w:t>
      </w:r>
      <w:proofErr w:type="spellStart"/>
      <w:r w:rsidRPr="0083417A">
        <w:rPr>
          <w:rFonts w:ascii="Times New Roman" w:hAnsi="Times New Roman" w:cs="Times New Roman"/>
          <w:i/>
          <w:color w:val="365F91" w:themeColor="accent1" w:themeShade="BF"/>
        </w:rPr>
        <w:t>энергопринимающих</w:t>
      </w:r>
      <w:proofErr w:type="spellEnd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устройств максимальной мощностью не более 150 кВт, в том числе одновременного присоединения </w:t>
      </w:r>
      <w:proofErr w:type="spellStart"/>
      <w:r w:rsidRPr="0083417A">
        <w:rPr>
          <w:rFonts w:ascii="Times New Roman" w:hAnsi="Times New Roman" w:cs="Times New Roman"/>
          <w:i/>
          <w:color w:val="365F91" w:themeColor="accent1" w:themeShade="BF"/>
        </w:rPr>
        <w:t>энергопринимающих</w:t>
      </w:r>
      <w:proofErr w:type="spellEnd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устройств максимальной мощностью не более 150 кВт и объекта </w:t>
      </w:r>
      <w:proofErr w:type="spellStart"/>
      <w:r w:rsidRPr="0083417A">
        <w:rPr>
          <w:rFonts w:ascii="Times New Roman" w:hAnsi="Times New Roman" w:cs="Times New Roman"/>
          <w:i/>
          <w:color w:val="365F91" w:themeColor="accent1" w:themeShade="BF"/>
        </w:rPr>
        <w:t>микрогенерации</w:t>
      </w:r>
      <w:proofErr w:type="spellEnd"/>
      <w:r w:rsidRPr="0083417A">
        <w:rPr>
          <w:rFonts w:ascii="Times New Roman" w:hAnsi="Times New Roman" w:cs="Times New Roman"/>
          <w:i/>
          <w:color w:val="365F91" w:themeColor="accent1" w:themeShade="BF"/>
        </w:rPr>
        <w:t>, в случае подачи заявки с 1 июля 2022 г. по 31 декабря 2022 г.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- от существующих объектов</w:t>
      </w:r>
      <w:proofErr w:type="gramEnd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электросетевого хозяйства до присоединяемых </w:t>
      </w:r>
      <w:proofErr w:type="spellStart"/>
      <w:r w:rsidRPr="0083417A">
        <w:rPr>
          <w:rFonts w:ascii="Times New Roman" w:hAnsi="Times New Roman" w:cs="Times New Roman"/>
          <w:i/>
          <w:color w:val="365F91" w:themeColor="accent1" w:themeShade="BF"/>
        </w:rPr>
        <w:t>энергопринимающих</w:t>
      </w:r>
      <w:proofErr w:type="spellEnd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устройств и объектов электроэнергетики в размере не более 50 процентов величины указанной инвестиционной составляющей</w:t>
      </w:r>
      <w:r w:rsidR="002D4AA4"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053562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807DD" wp14:editId="14029556">
                <wp:simplePos x="0" y="0"/>
                <wp:positionH relativeFrom="column">
                  <wp:posOffset>-670078</wp:posOffset>
                </wp:positionH>
                <wp:positionV relativeFrom="paragraph">
                  <wp:posOffset>-428701</wp:posOffset>
                </wp:positionV>
                <wp:extent cx="6889115" cy="10132695"/>
                <wp:effectExtent l="19050" t="19050" r="45085" b="400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52.75pt;margin-top:-33.75pt;width:542.45pt;height:7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заявителей с максимальной мощностью более 15 кВт</w:t>
      </w:r>
      <w:r w:rsidR="003C31FA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 существуют способ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расчета платы за технологическое присоединение:</w:t>
      </w:r>
    </w:p>
    <w:p w:rsidR="002D4AA4" w:rsidRPr="0083417A" w:rsidRDefault="002D4AA4" w:rsidP="0083417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 использованием утвержденных стандартизированных ставок на технологическое присоединение. </w:t>
      </w:r>
      <w:r w:rsidR="003C31FA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Ставка платы за одно технологическое присоединение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и к полученной величине прибавляется произведение требуемого для подключения потребителя длины планируемой к постройке линии электропередач на ставку строительства этой линии (руб. на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км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) и количества требуемых трансформаторных подстанций и  ставки на их строительство.</w:t>
      </w:r>
    </w:p>
    <w:p w:rsidR="002D4AA4" w:rsidRPr="0083417A" w:rsidRDefault="00181DA6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bdr w:val="none" w:sz="0" w:space="0" w:color="auto" w:frame="1"/>
          <w:lang w:eastAsia="ru-RU"/>
        </w:rPr>
        <w:t>10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. Сроки технологического присоединения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Сроки технологического присоединения в соответствии с текущим законодательством не должны превышать: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временного подключения - 15 рабочих дней (в случае, если в заявлении не указан более длительный срок)</w:t>
      </w:r>
    </w:p>
    <w:p w:rsidR="002D4AA4" w:rsidRPr="00CB1EED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юридических лиц, присоединение мощностью не более 150 кВт, физические лица</w:t>
      </w:r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до                    15 кВт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, присоединение к сетям уровнем напряжения до 20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кВ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- 6 месяцев</w:t>
      </w:r>
    </w:p>
    <w:p w:rsidR="00CB1EED" w:rsidRPr="0083417A" w:rsidRDefault="00CB1EED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физических лиц свыше 15 кВт </w:t>
      </w:r>
      <w:r w:rsidR="00D0666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- 6 месяцев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юридических </w:t>
      </w:r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и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лиц</w:t>
      </w:r>
      <w:proofErr w:type="gramStart"/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присоединенная мощность объектов </w:t>
      </w:r>
      <w:r w:rsidR="00D0666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более 150кВт но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 превышает 670 кВт - 1 год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юридических лиц, присоединенная мощность которых превышает 670 кВт - 2 года</w:t>
      </w:r>
    </w:p>
    <w:p w:rsidR="00872977" w:rsidRPr="0083417A" w:rsidRDefault="00872977">
      <w:pPr>
        <w:rPr>
          <w:rFonts w:ascii="Times New Roman" w:hAnsi="Times New Roman" w:cs="Times New Roman"/>
          <w:color w:val="365F91" w:themeColor="accent1" w:themeShade="BF"/>
        </w:rPr>
      </w:pPr>
    </w:p>
    <w:sectPr w:rsidR="00872977" w:rsidRPr="0083417A" w:rsidSect="00CB1E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254"/>
    <w:multiLevelType w:val="multilevel"/>
    <w:tmpl w:val="900C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3E89"/>
    <w:multiLevelType w:val="multilevel"/>
    <w:tmpl w:val="7F6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C1308"/>
    <w:multiLevelType w:val="multilevel"/>
    <w:tmpl w:val="AFB0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51745"/>
    <w:multiLevelType w:val="multilevel"/>
    <w:tmpl w:val="D80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B5C24"/>
    <w:multiLevelType w:val="multilevel"/>
    <w:tmpl w:val="1D4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01802"/>
    <w:multiLevelType w:val="multilevel"/>
    <w:tmpl w:val="69C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33BEF"/>
    <w:multiLevelType w:val="multilevel"/>
    <w:tmpl w:val="0ED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908B3"/>
    <w:multiLevelType w:val="multilevel"/>
    <w:tmpl w:val="D85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51B3"/>
    <w:multiLevelType w:val="multilevel"/>
    <w:tmpl w:val="EC5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F0BF5"/>
    <w:multiLevelType w:val="multilevel"/>
    <w:tmpl w:val="B0763D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03612A3"/>
    <w:multiLevelType w:val="multilevel"/>
    <w:tmpl w:val="31F6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426E5"/>
    <w:multiLevelType w:val="multilevel"/>
    <w:tmpl w:val="8D0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1C2061"/>
    <w:multiLevelType w:val="multilevel"/>
    <w:tmpl w:val="DCE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2"/>
    <w:rsid w:val="00053562"/>
    <w:rsid w:val="00063800"/>
    <w:rsid w:val="00085503"/>
    <w:rsid w:val="00112C4B"/>
    <w:rsid w:val="00116DB6"/>
    <w:rsid w:val="00181DA6"/>
    <w:rsid w:val="001A6148"/>
    <w:rsid w:val="001A7188"/>
    <w:rsid w:val="002C1DD8"/>
    <w:rsid w:val="002D4AA4"/>
    <w:rsid w:val="00314867"/>
    <w:rsid w:val="00314D80"/>
    <w:rsid w:val="003C31FA"/>
    <w:rsid w:val="00741849"/>
    <w:rsid w:val="00781039"/>
    <w:rsid w:val="007D0215"/>
    <w:rsid w:val="007E4668"/>
    <w:rsid w:val="007F5A36"/>
    <w:rsid w:val="0083417A"/>
    <w:rsid w:val="0086030C"/>
    <w:rsid w:val="00872977"/>
    <w:rsid w:val="008F02DD"/>
    <w:rsid w:val="009B5F6E"/>
    <w:rsid w:val="009D562D"/>
    <w:rsid w:val="00B705FF"/>
    <w:rsid w:val="00BB3208"/>
    <w:rsid w:val="00C42D72"/>
    <w:rsid w:val="00C5652F"/>
    <w:rsid w:val="00C732F6"/>
    <w:rsid w:val="00CB1EED"/>
    <w:rsid w:val="00D0666D"/>
    <w:rsid w:val="00D51229"/>
    <w:rsid w:val="00D83CD8"/>
    <w:rsid w:val="00E32804"/>
    <w:rsid w:val="00E659B4"/>
    <w:rsid w:val="00F60A94"/>
    <w:rsid w:val="00F728E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AA4"/>
    <w:rPr>
      <w:color w:val="0000FF"/>
      <w:u w:val="single"/>
    </w:rPr>
  </w:style>
  <w:style w:type="character" w:styleId="a5">
    <w:name w:val="Strong"/>
    <w:basedOn w:val="a0"/>
    <w:uiPriority w:val="22"/>
    <w:qFormat/>
    <w:rsid w:val="002D4AA4"/>
    <w:rPr>
      <w:b/>
      <w:bCs/>
    </w:rPr>
  </w:style>
  <w:style w:type="character" w:styleId="a6">
    <w:name w:val="Emphasis"/>
    <w:basedOn w:val="a0"/>
    <w:uiPriority w:val="20"/>
    <w:qFormat/>
    <w:rsid w:val="002D4A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AA4"/>
    <w:rPr>
      <w:color w:val="0000FF"/>
      <w:u w:val="single"/>
    </w:rPr>
  </w:style>
  <w:style w:type="character" w:styleId="a5">
    <w:name w:val="Strong"/>
    <w:basedOn w:val="a0"/>
    <w:uiPriority w:val="22"/>
    <w:qFormat/>
    <w:rsid w:val="002D4AA4"/>
    <w:rPr>
      <w:b/>
      <w:bCs/>
    </w:rPr>
  </w:style>
  <w:style w:type="character" w:styleId="a6">
    <w:name w:val="Emphasis"/>
    <w:basedOn w:val="a0"/>
    <w:uiPriority w:val="20"/>
    <w:qFormat/>
    <w:rsid w:val="002D4A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5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0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" TargetMode="External"/><Relationship Id="rId13" Type="http://schemas.openxmlformats.org/officeDocument/2006/relationships/hyperlink" Target="http://www.consultant.ru/document/cons_doc_LAW_421281/4637712f183997da3eb38456496bc4c91b0fef7a/" TargetMode="External"/><Relationship Id="rId18" Type="http://schemas.openxmlformats.org/officeDocument/2006/relationships/hyperlink" Target="http://www.consultant.ru/document/cons_doc_LAW_421281/4637712f183997da3eb38456496bc4c91b0fef7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30/" TargetMode="External"/><Relationship Id="rId12" Type="http://schemas.openxmlformats.org/officeDocument/2006/relationships/hyperlink" Target="http://www.consultant.ru/document/cons_doc_LAW_421281/4637712f183997da3eb38456496bc4c91b0fef7a/" TargetMode="External"/><Relationship Id="rId17" Type="http://schemas.openxmlformats.org/officeDocument/2006/relationships/hyperlink" Target="http://www.consultant.ru/document/cons_doc_LAW_421281/4637712f183997da3eb38456496bc4c91b0fef7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21281/4637712f183997da3eb38456496bc4c91b0fef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21281/4637712f183997da3eb38456496bc4c91b0fef7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21281/4637712f183997da3eb38456496bc4c91b0fef7a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esk-elseti.ru/tehnologicheskoe-prisoedinenie/" TargetMode="External"/><Relationship Id="rId14" Type="http://schemas.openxmlformats.org/officeDocument/2006/relationships/hyperlink" Target="http://www.consultant.ru/document/cons_doc_LAW_421281/4637712f183997da3eb38456496bc4c91b0fef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2541-B33A-4906-BD3D-38C1A4B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 Станислав Сергеевич</dc:creator>
  <cp:lastModifiedBy>Старичков Станислав Сергеевич</cp:lastModifiedBy>
  <cp:revision>13</cp:revision>
  <cp:lastPrinted>2022-11-22T15:28:00Z</cp:lastPrinted>
  <dcterms:created xsi:type="dcterms:W3CDTF">2022-11-15T15:10:00Z</dcterms:created>
  <dcterms:modified xsi:type="dcterms:W3CDTF">2022-11-23T11:11:00Z</dcterms:modified>
</cp:coreProperties>
</file>